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media/image2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firstLine="567" w:left="-567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Технический бюллетень</w:t>
      </w:r>
    </w:p>
    <w:p>
      <w:pPr>
        <w:pStyle w:val="Normal"/>
        <w:ind w:firstLine="567" w:left="-567"/>
        <w:jc w:val="center"/>
        <w:rPr>
          <w:b/>
          <w:sz w:val="44"/>
          <w:szCs w:val="44"/>
          <w:lang w:val="en-US"/>
        </w:rPr>
      </w:pPr>
      <w:r>
        <w:rPr>
          <w:b/>
          <w:sz w:val="44"/>
          <w:szCs w:val="44"/>
        </w:rPr>
        <w:t xml:space="preserve">Модель: </w:t>
      </w:r>
      <w:r>
        <w:rPr>
          <w:b/>
          <w:sz w:val="44"/>
          <w:szCs w:val="44"/>
          <w:lang w:val="ru-RU"/>
        </w:rPr>
        <w:t>ССВ225 М5,2</w:t>
      </w:r>
    </w:p>
    <w:p>
      <w:pPr>
        <w:pStyle w:val="Normal"/>
        <w:ind w:firstLine="567" w:left="-567"/>
        <w:rPr>
          <w:b/>
        </w:rPr>
      </w:pPr>
      <w:r>
        <w:rPr>
          <w:b/>
        </w:rPr>
      </w:r>
    </w:p>
    <w:p>
      <w:pPr>
        <w:pStyle w:val="Normal"/>
        <w:ind w:firstLine="567" w:left="-567"/>
        <w:rPr/>
      </w:pPr>
      <w:r>
        <w:rPr/>
      </w:r>
    </w:p>
    <w:p>
      <w:pPr>
        <w:pStyle w:val="Normal"/>
        <w:ind w:firstLine="567" w:left="-567"/>
        <w:rPr/>
      </w:pPr>
      <w:r>
        <w:rPr/>
      </w:r>
    </w:p>
    <w:p>
      <w:pPr>
        <w:pStyle w:val="Normal"/>
        <w:ind w:firstLine="567" w:left="-567"/>
        <w:rPr/>
      </w:pPr>
      <w:r>
        <w:rPr/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301740" cy="4201160"/>
            <wp:effectExtent l="0" t="0" r="0" b="0"/>
            <wp:wrapSquare wrapText="largest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740" cy="4201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ind w:firstLine="567" w:left="-567"/>
        <w:rPr/>
      </w:pPr>
      <w:r>
        <w:rPr/>
      </w:r>
    </w:p>
    <w:p>
      <w:pPr>
        <w:pStyle w:val="Normal"/>
        <w:ind w:firstLine="567" w:left="-567"/>
        <w:rPr/>
      </w:pPr>
      <w:r>
        <w:rPr/>
      </w:r>
    </w:p>
    <w:p>
      <w:pPr>
        <w:pStyle w:val="Normal"/>
        <w:ind w:firstLine="567" w:left="-567"/>
        <w:rPr/>
      </w:pPr>
      <w:r>
        <w:rPr/>
      </w:r>
    </w:p>
    <w:p>
      <w:pPr>
        <w:pStyle w:val="Normal"/>
        <w:ind w:firstLine="567" w:left="-567"/>
        <w:rPr/>
      </w:pPr>
      <w:r>
        <w:rPr/>
      </w:r>
    </w:p>
    <w:p>
      <w:pPr>
        <w:pStyle w:val="Normal"/>
        <w:ind w:firstLine="567" w:left="-567"/>
        <w:rPr/>
      </w:pPr>
      <w:r>
        <w:rPr/>
      </w:r>
    </w:p>
    <w:p>
      <w:pPr>
        <w:pStyle w:val="Normal"/>
        <w:ind w:firstLine="567" w:left="-567"/>
        <w:rPr/>
      </w:pPr>
      <w:r>
        <w:rPr/>
      </w:r>
    </w:p>
    <w:p>
      <w:pPr>
        <w:pStyle w:val="Normal"/>
        <w:ind w:firstLine="567" w:left="-567"/>
        <w:rPr/>
      </w:pPr>
      <w:r>
        <w:rPr/>
      </w:r>
    </w:p>
    <w:p>
      <w:pPr>
        <w:pStyle w:val="Normal"/>
        <w:ind w:firstLine="567" w:left="-567"/>
        <w:rPr/>
      </w:pPr>
      <w:r>
        <w:rPr/>
      </w:r>
    </w:p>
    <w:p>
      <w:pPr>
        <w:pStyle w:val="Normal"/>
        <w:ind w:firstLine="567" w:left="-567"/>
        <w:rPr/>
      </w:pPr>
      <w:r>
        <w:rPr/>
      </w:r>
    </w:p>
    <w:tbl>
      <w:tblPr>
        <w:tblW w:w="705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985"/>
        <w:gridCol w:w="994"/>
        <w:gridCol w:w="3075"/>
      </w:tblGrid>
      <w:tr>
        <w:trPr>
          <w:trHeight w:val="285" w:hRule="atLeast"/>
        </w:trPr>
        <w:tc>
          <w:tcPr>
            <w:tcW w:w="298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</w:rPr>
            </w:pPr>
            <w:r>
              <w:rPr>
                <w:rFonts w:eastAsia="Times New Roman" w:cs="Arial" w:ascii="Arial" w:hAnsi="Arial"/>
                <w:color w:val="000000"/>
              </w:rPr>
              <w:t>Х</w:t>
            </w:r>
            <w:r>
              <w:rPr>
                <w:rFonts w:eastAsia="Times New Roman" w:cs="Arial" w:ascii="Arial" w:hAnsi="Arial"/>
                <w:color w:val="000000"/>
              </w:rPr>
              <w:t>арактеристика</w:t>
            </w:r>
          </w:p>
        </w:tc>
        <w:tc>
          <w:tcPr>
            <w:tcW w:w="9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567" w:left="-567"/>
              <w:jc w:val="center"/>
              <w:rPr>
                <w:rFonts w:ascii="Arial" w:hAnsi="Arial" w:eastAsia="Times New Roman" w:cs="Arial"/>
                <w:color w:val="000000"/>
              </w:rPr>
            </w:pPr>
            <w:r>
              <w:rPr>
                <w:rFonts w:eastAsia="Times New Roman" w:cs="Arial" w:ascii="Arial" w:hAnsi="Arial"/>
                <w:color w:val="000000"/>
              </w:rPr>
              <w:t>Разм.</w:t>
            </w:r>
          </w:p>
        </w:tc>
        <w:tc>
          <w:tcPr>
            <w:tcW w:w="3075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</w:rPr>
            </w:pPr>
            <w:r>
              <w:rPr>
                <w:rFonts w:eastAsia="Times New Roman" w:cs="Arial" w:ascii="Arial" w:hAnsi="Arial"/>
                <w:color w:val="000000"/>
              </w:rPr>
              <w:t>Значение</w:t>
            </w:r>
          </w:p>
        </w:tc>
      </w:tr>
      <w:tr>
        <w:trPr>
          <w:trHeight w:val="285" w:hRule="atLeast"/>
        </w:trPr>
        <w:tc>
          <w:tcPr>
            <w:tcW w:w="2985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</w:rPr>
            </w:pPr>
            <w:r>
              <w:rPr>
                <w:rFonts w:eastAsia="Times New Roman" w:cs="Arial" w:ascii="Arial" w:hAnsi="Arial"/>
                <w:color w:val="000000"/>
              </w:rPr>
              <w:t>Холодопроизводительность (-10/45)</w:t>
            </w:r>
          </w:p>
        </w:tc>
        <w:tc>
          <w:tcPr>
            <w:tcW w:w="9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567" w:left="-567"/>
              <w:jc w:val="center"/>
              <w:rPr>
                <w:rFonts w:ascii="Arial" w:hAnsi="Arial" w:eastAsia="Times New Roman" w:cs="Arial"/>
                <w:color w:val="000000"/>
              </w:rPr>
            </w:pPr>
            <w:r>
              <w:rPr>
                <w:rFonts w:eastAsia="Times New Roman" w:cs="Arial" w:ascii="Arial" w:hAnsi="Arial"/>
                <w:color w:val="000000"/>
              </w:rPr>
              <w:t>кВт</w:t>
            </w:r>
          </w:p>
        </w:tc>
        <w:tc>
          <w:tcPr>
            <w:tcW w:w="3075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</w:rPr>
            </w:pPr>
            <w:r>
              <w:rPr>
                <w:rFonts w:eastAsia="Times New Roman" w:cs="Arial" w:ascii="Arial" w:hAnsi="Arial"/>
                <w:color w:val="000000"/>
              </w:rPr>
              <w:t>5,2</w:t>
            </w:r>
          </w:p>
        </w:tc>
      </w:tr>
      <w:tr>
        <w:trPr>
          <w:trHeight w:val="285" w:hRule="atLeast"/>
        </w:trPr>
        <w:tc>
          <w:tcPr>
            <w:tcW w:w="2985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</w:rPr>
            </w:pPr>
            <w:r>
              <w:rPr>
                <w:rFonts w:eastAsia="Times New Roman" w:cs="Arial" w:ascii="Arial" w:hAnsi="Arial"/>
                <w:color w:val="000000"/>
              </w:rPr>
              <w:t>Напряжение</w:t>
            </w:r>
          </w:p>
        </w:tc>
        <w:tc>
          <w:tcPr>
            <w:tcW w:w="9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567" w:left="-567"/>
              <w:jc w:val="center"/>
              <w:rPr>
                <w:rFonts w:ascii="Arial" w:hAnsi="Arial" w:eastAsia="Times New Roman" w:cs="Arial"/>
                <w:color w:val="000000"/>
              </w:rPr>
            </w:pPr>
            <w:r>
              <w:rPr>
                <w:rFonts w:eastAsia="Times New Roman" w:cs="Arial" w:ascii="Arial" w:hAnsi="Arial"/>
                <w:color w:val="000000"/>
              </w:rPr>
              <w:t>V</w:t>
            </w:r>
          </w:p>
        </w:tc>
        <w:tc>
          <w:tcPr>
            <w:tcW w:w="3075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</w:rPr>
            </w:pPr>
            <w:r>
              <w:rPr>
                <w:rFonts w:eastAsia="Times New Roman" w:cs="Arial" w:ascii="Arial" w:hAnsi="Arial"/>
                <w:color w:val="000000"/>
              </w:rPr>
              <w:t>380</w:t>
            </w:r>
          </w:p>
        </w:tc>
      </w:tr>
      <w:tr>
        <w:trPr>
          <w:trHeight w:val="285" w:hRule="atLeast"/>
        </w:trPr>
        <w:tc>
          <w:tcPr>
            <w:tcW w:w="2985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</w:rPr>
            </w:pPr>
            <w:r>
              <w:rPr>
                <w:rFonts w:eastAsia="Times New Roman" w:cs="Arial" w:ascii="Arial" w:hAnsi="Arial"/>
                <w:color w:val="000000"/>
              </w:rPr>
              <w:t>Номинальное потребление</w:t>
            </w:r>
          </w:p>
        </w:tc>
        <w:tc>
          <w:tcPr>
            <w:tcW w:w="9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567" w:left="-567"/>
              <w:jc w:val="center"/>
              <w:rPr>
                <w:rFonts w:ascii="Arial" w:hAnsi="Arial" w:eastAsia="Times New Roman" w:cs="Arial"/>
                <w:color w:val="000000"/>
              </w:rPr>
            </w:pPr>
            <w:r>
              <w:rPr>
                <w:rFonts w:eastAsia="Times New Roman" w:cs="Arial" w:ascii="Arial" w:hAnsi="Arial"/>
                <w:color w:val="000000"/>
              </w:rPr>
              <w:t>кВт</w:t>
            </w:r>
          </w:p>
        </w:tc>
        <w:tc>
          <w:tcPr>
            <w:tcW w:w="3075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</w:rPr>
            </w:pPr>
            <w:r>
              <w:rPr>
                <w:rFonts w:eastAsia="Times New Roman" w:cs="Arial" w:ascii="Arial" w:hAnsi="Arial"/>
                <w:color w:val="000000"/>
              </w:rPr>
              <w:t>2,42</w:t>
            </w:r>
          </w:p>
        </w:tc>
      </w:tr>
      <w:tr>
        <w:trPr>
          <w:trHeight w:val="285" w:hRule="atLeast"/>
        </w:trPr>
        <w:tc>
          <w:tcPr>
            <w:tcW w:w="2985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</w:rPr>
            </w:pPr>
            <w:r>
              <w:rPr>
                <w:rFonts w:eastAsia="Times New Roman" w:cs="Arial" w:ascii="Arial" w:hAnsi="Arial"/>
                <w:color w:val="000000"/>
              </w:rPr>
              <w:t>Хладагент</w:t>
            </w:r>
          </w:p>
        </w:tc>
        <w:tc>
          <w:tcPr>
            <w:tcW w:w="9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567" w:left="-567"/>
              <w:jc w:val="center"/>
              <w:rPr>
                <w:rFonts w:ascii="Arial" w:hAnsi="Arial" w:eastAsia="Times New Roman" w:cs="Arial"/>
                <w:color w:val="000000"/>
              </w:rPr>
            </w:pPr>
            <w:r>
              <w:rPr>
                <w:rFonts w:eastAsia="Times New Roman" w:cs="Arial" w:ascii="Arial" w:hAnsi="Arial"/>
                <w:color w:val="000000"/>
              </w:rPr>
            </w:r>
          </w:p>
        </w:tc>
        <w:tc>
          <w:tcPr>
            <w:tcW w:w="3075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</w:rPr>
            </w:pPr>
            <w:r>
              <w:rPr>
                <w:rFonts w:eastAsia="Times New Roman" w:cs="Arial" w:ascii="Arial" w:hAnsi="Arial"/>
                <w:color w:val="000000"/>
              </w:rPr>
              <w:t>R404A</w:t>
            </w:r>
          </w:p>
        </w:tc>
      </w:tr>
      <w:tr>
        <w:trPr>
          <w:trHeight w:val="285" w:hRule="atLeast"/>
        </w:trPr>
        <w:tc>
          <w:tcPr>
            <w:tcW w:w="2985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</w:rPr>
            </w:pPr>
            <w:r>
              <w:rPr>
                <w:rFonts w:eastAsia="Times New Roman" w:cs="Arial" w:ascii="Arial" w:hAnsi="Arial"/>
                <w:color w:val="000000"/>
              </w:rPr>
              <w:t>Материал корпуса</w:t>
            </w:r>
          </w:p>
        </w:tc>
        <w:tc>
          <w:tcPr>
            <w:tcW w:w="9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567" w:left="-567"/>
              <w:jc w:val="center"/>
              <w:rPr>
                <w:rFonts w:ascii="Arial" w:hAnsi="Arial" w:eastAsia="Times New Roman" w:cs="Arial"/>
                <w:color w:val="000000"/>
              </w:rPr>
            </w:pPr>
            <w:r>
              <w:rPr>
                <w:rFonts w:eastAsia="Times New Roman" w:cs="Arial" w:ascii="Arial" w:hAnsi="Arial"/>
                <w:color w:val="000000"/>
              </w:rPr>
            </w:r>
          </w:p>
        </w:tc>
        <w:tc>
          <w:tcPr>
            <w:tcW w:w="3075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</w:rPr>
            </w:pPr>
            <w:r>
              <w:rPr>
                <w:rFonts w:eastAsia="Times New Roman" w:cs="Arial" w:ascii="Arial" w:hAnsi="Arial"/>
                <w:color w:val="000000"/>
              </w:rPr>
              <w:t>Крашенная оцинкованная сталь</w:t>
            </w:r>
          </w:p>
        </w:tc>
      </w:tr>
      <w:tr>
        <w:trPr>
          <w:trHeight w:val="285" w:hRule="atLeast"/>
        </w:trPr>
        <w:tc>
          <w:tcPr>
            <w:tcW w:w="2985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</w:rPr>
            </w:pPr>
            <w:r>
              <w:rPr>
                <w:rFonts w:eastAsia="Times New Roman" w:cs="Arial" w:ascii="Arial" w:hAnsi="Arial"/>
                <w:color w:val="000000"/>
              </w:rPr>
              <w:t>Вес брутто</w:t>
            </w:r>
          </w:p>
        </w:tc>
        <w:tc>
          <w:tcPr>
            <w:tcW w:w="9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567" w:left="-567"/>
              <w:jc w:val="center"/>
              <w:rPr>
                <w:rFonts w:ascii="Arial" w:hAnsi="Arial" w:eastAsia="Times New Roman" w:cs="Arial"/>
                <w:color w:val="000000"/>
              </w:rPr>
            </w:pPr>
            <w:r>
              <w:rPr>
                <w:rFonts w:eastAsia="Times New Roman" w:cs="Arial" w:ascii="Arial" w:hAnsi="Arial"/>
                <w:color w:val="000000"/>
              </w:rPr>
              <w:t>кг</w:t>
            </w:r>
          </w:p>
        </w:tc>
        <w:tc>
          <w:tcPr>
            <w:tcW w:w="3075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</w:rPr>
            </w:pPr>
            <w:r>
              <w:rPr>
                <w:rFonts w:eastAsia="Times New Roman" w:cs="Arial" w:ascii="Arial" w:hAnsi="Arial"/>
                <w:color w:val="000000"/>
                <w:lang w:val="en-US"/>
              </w:rPr>
              <w:t>149</w:t>
            </w:r>
          </w:p>
        </w:tc>
      </w:tr>
      <w:tr>
        <w:trPr>
          <w:trHeight w:val="285" w:hRule="atLeast"/>
        </w:trPr>
        <w:tc>
          <w:tcPr>
            <w:tcW w:w="2985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</w:rPr>
            </w:pPr>
            <w:r>
              <w:rPr>
                <w:rFonts w:eastAsia="Times New Roman" w:cs="Arial" w:ascii="Arial" w:hAnsi="Arial"/>
                <w:color w:val="000000"/>
              </w:rPr>
              <w:t>Габарит упаковки</w:t>
            </w:r>
          </w:p>
        </w:tc>
        <w:tc>
          <w:tcPr>
            <w:tcW w:w="9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567" w:left="-567"/>
              <w:jc w:val="center"/>
              <w:rPr>
                <w:rFonts w:ascii="Arial" w:hAnsi="Arial" w:eastAsia="Times New Roman" w:cs="Arial"/>
                <w:color w:val="000000"/>
              </w:rPr>
            </w:pPr>
            <w:r>
              <w:rPr>
                <w:rFonts w:eastAsia="Times New Roman" w:cs="Arial" w:ascii="Arial" w:hAnsi="Arial"/>
                <w:color w:val="000000"/>
              </w:rPr>
            </w:r>
          </w:p>
        </w:tc>
        <w:tc>
          <w:tcPr>
            <w:tcW w:w="3075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bidi w:val="0"/>
              <w:spacing w:before="0" w:after="200"/>
              <w:jc w:val="center"/>
              <w:rPr>
                <w:rFonts w:ascii="Calibri" w:hAnsi="Calibri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</w:pPr>
            <w:r>
              <w:rPr>
                <w:rFonts w:eastAsia="Times New Roman" w:cs="Arial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  <w:t>1850x800</w:t>
            </w:r>
            <w:r>
              <w:rPr>
                <w:rFonts w:eastAsia="Times New Roman" w:cs="Arial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  <w:t>х1</w:t>
            </w:r>
            <w:r>
              <w:rPr>
                <w:rFonts w:eastAsia="Times New Roman" w:cs="Arial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2985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Cs/>
                <w:color w:val="000000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</w:rPr>
              <w:t>Компрессор</w:t>
            </w:r>
          </w:p>
        </w:tc>
        <w:tc>
          <w:tcPr>
            <w:tcW w:w="9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567" w:left="-567"/>
              <w:jc w:val="center"/>
              <w:rPr>
                <w:rFonts w:ascii="Arial" w:hAnsi="Arial" w:eastAsia="Times New Roman" w:cs="Arial"/>
                <w:color w:val="000000"/>
              </w:rPr>
            </w:pPr>
            <w:r>
              <w:rPr>
                <w:rFonts w:eastAsia="Times New Roman" w:cs="Arial" w:ascii="Arial" w:hAnsi="Arial"/>
                <w:color w:val="000000"/>
              </w:rPr>
            </w:r>
          </w:p>
        </w:tc>
        <w:tc>
          <w:tcPr>
            <w:tcW w:w="3075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</w:rPr>
            </w:pPr>
            <w:r>
              <w:rPr/>
              <w:t>Герметичный</w:t>
            </w:r>
          </w:p>
        </w:tc>
      </w:tr>
    </w:tbl>
    <w:p>
      <w:pPr>
        <w:pStyle w:val="Normal"/>
        <w:ind w:firstLine="567" w:left="-567"/>
        <w:rPr/>
      </w:pPr>
      <w:r>
        <w:rPr/>
      </w:r>
    </w:p>
    <w:p>
      <w:pPr>
        <w:pStyle w:val="Normal"/>
        <w:ind w:firstLine="567" w:left="-567"/>
        <w:rPr/>
      </w:pPr>
      <w:r>
        <w:rPr/>
        <w:t>Стандартный состав агрегата:</w:t>
      </w:r>
    </w:p>
    <w:p>
      <w:pPr>
        <w:pStyle w:val="Normal"/>
        <w:ind w:firstLine="567" w:left="-567"/>
        <w:rPr/>
      </w:pPr>
      <w:r>
        <w:rPr/>
        <w:t>Герметичный поршневой либо спиральный компрессор, защитное реле давления на линиях всасывания и нагнетания, подогрев картера;</w:t>
      </w:r>
    </w:p>
    <w:p>
      <w:pPr>
        <w:pStyle w:val="Normal"/>
        <w:ind w:firstLine="567" w:left="-567"/>
        <w:rPr/>
      </w:pPr>
      <w:r>
        <w:rPr/>
        <w:t>Линия всасывания: всасывающий трубопровод, теплоизоляция, запорный вентиль;</w:t>
      </w:r>
    </w:p>
    <w:p>
      <w:pPr>
        <w:pStyle w:val="Normal"/>
        <w:ind w:firstLine="567" w:left="-567"/>
        <w:rPr/>
      </w:pPr>
      <w:r>
        <w:rPr/>
        <w:t>Линия нагнетания: трубопровод нагнетания;</w:t>
      </w:r>
    </w:p>
    <w:p>
      <w:pPr>
        <w:pStyle w:val="Normal"/>
        <w:ind w:firstLine="567" w:left="-567"/>
        <w:rPr/>
      </w:pPr>
      <w:r>
        <w:rPr/>
        <w:t>Ресивер хладагента с запорными вентилями, предохранительным клапаном;</w:t>
      </w:r>
    </w:p>
    <w:p>
      <w:pPr>
        <w:pStyle w:val="Normal"/>
        <w:ind w:firstLine="567" w:left="-567"/>
        <w:rPr/>
      </w:pPr>
      <w:r>
        <w:rPr/>
        <w:t>Жидкостная линия: фильтр-осушитель, смотровое стекло, запорный вентиль;</w:t>
      </w:r>
    </w:p>
    <w:p>
      <w:pPr>
        <w:pStyle w:val="Normal"/>
        <w:ind w:firstLine="567" w:left="-567"/>
        <w:rPr/>
      </w:pPr>
      <w:r>
        <w:rPr/>
        <w:t>ТЭН  подогрева ресивера</w:t>
      </w:r>
    </w:p>
    <w:p>
      <w:pPr>
        <w:pStyle w:val="Normal"/>
        <w:ind w:firstLine="567" w:left="-567"/>
        <w:rPr/>
      </w:pPr>
      <w:r>
        <w:rPr/>
        <w:t>Окрашенный корпус с батареей конденсатора и вентилятором (одним или несколькими);</w:t>
      </w:r>
    </w:p>
    <w:p>
      <w:pPr>
        <w:pStyle w:val="Normal"/>
        <w:ind w:firstLine="567" w:left="-567"/>
        <w:rPr/>
      </w:pPr>
      <w:r>
        <w:rPr/>
        <w:t>Регулировка давления конденсации: обратный клапан перед ресивером, реле давления.</w:t>
      </w:r>
    </w:p>
    <w:p>
      <w:pPr>
        <w:pStyle w:val="Normal"/>
        <w:ind w:firstLine="567" w:left="-567"/>
        <w:rPr/>
      </w:pPr>
      <w:r>
        <w:rPr/>
        <w:t>Защита от пропадания фаз и перекоса фаз питающей сети. Защита от повышенного тока.</w:t>
      </w:r>
    </w:p>
    <w:p>
      <w:pPr>
        <w:pStyle w:val="Normal"/>
        <w:ind w:firstLine="567" w:left="-567"/>
        <w:rPr/>
      </w:pPr>
      <w:r>
        <w:rPr/>
        <w:t>Инструкция по эксплуатации.</w:t>
      </w:r>
    </w:p>
    <w:p>
      <w:pPr>
        <w:pStyle w:val="Normal"/>
        <w:ind w:firstLine="567" w:left="-567"/>
        <w:rPr/>
      </w:pPr>
      <w:r>
        <w:rPr/>
      </w:r>
    </w:p>
    <w:p>
      <w:pPr>
        <w:pStyle w:val="Normal"/>
        <w:ind w:firstLine="567" w:left="-567"/>
        <w:rPr/>
      </w:pPr>
      <w:r>
        <w:rPr/>
      </w:r>
    </w:p>
    <w:p>
      <w:pPr>
        <w:pStyle w:val="Normal"/>
        <w:ind w:firstLine="567" w:left="-567"/>
        <w:rPr/>
      </w:pPr>
      <w:r>
        <w:rPr/>
      </w:r>
    </w:p>
    <w:p>
      <w:pPr>
        <w:pStyle w:val="Normal"/>
        <w:ind w:firstLine="567" w:left="-567"/>
        <w:rPr/>
      </w:pPr>
      <w:r>
        <w:rPr/>
      </w:r>
    </w:p>
    <w:p>
      <w:pPr>
        <w:pStyle w:val="Normal"/>
        <w:ind w:firstLine="567" w:left="-567"/>
        <w:rPr/>
      </w:pPr>
      <w:r>
        <w:rPr/>
      </w:r>
    </w:p>
    <w:p>
      <w:pPr>
        <w:pStyle w:val="Normal"/>
        <w:ind w:firstLine="567" w:left="-567"/>
        <w:rPr/>
      </w:pPr>
      <w:r>
        <w:rPr/>
      </w:r>
    </w:p>
    <w:p>
      <w:pPr>
        <w:pStyle w:val="Normal"/>
        <w:ind w:firstLine="567" w:left="-567"/>
        <w:rPr>
          <w:b/>
        </w:rPr>
      </w:pPr>
      <w:r>
        <w:rPr/>
      </w:r>
    </w:p>
    <w:p>
      <w:pPr>
        <w:pStyle w:val="Normal"/>
        <w:ind w:firstLine="567" w:left="-567"/>
        <w:rPr>
          <w:b/>
        </w:rPr>
      </w:pPr>
      <w:r>
        <w:rPr/>
      </w:r>
    </w:p>
    <w:p>
      <w:pPr>
        <w:pStyle w:val="Normal"/>
        <w:ind w:firstLine="567" w:left="-567"/>
        <w:rPr>
          <w:b/>
        </w:rPr>
      </w:pPr>
      <w:r>
        <w:rPr/>
      </w:r>
    </w:p>
    <w:p>
      <w:pPr>
        <w:pStyle w:val="Normal"/>
        <w:ind w:firstLine="567" w:left="-567"/>
        <w:rPr/>
      </w:pPr>
      <w:r>
        <w:rPr/>
      </w:r>
    </w:p>
    <w:p>
      <w:pPr>
        <w:pStyle w:val="Normal"/>
        <w:ind w:firstLine="567" w:left="-567"/>
        <w:rPr/>
      </w:pPr>
      <w:r>
        <w:rPr/>
      </w:r>
    </w:p>
    <w:p>
      <w:pPr>
        <w:pStyle w:val="Normal"/>
        <w:spacing w:before="0" w:after="200"/>
        <w:ind w:hanging="0" w:left="-567"/>
        <w:rPr/>
      </w:pPr>
      <w:r>
        <w:rPr/>
        <w:drawing>
          <wp:anchor behindDoc="0" distT="0" distB="0" distL="0" distR="0" simplePos="0" locked="0" layoutInCell="0" allowOverlap="1" relativeHeight="3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301740" cy="4618355"/>
            <wp:effectExtent l="0" t="0" r="0" b="0"/>
            <wp:wrapSquare wrapText="largest"/>
            <wp:docPr id="2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740" cy="46183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type w:val="nextPage"/>
      <w:pgSz w:w="11906" w:h="16838"/>
      <w:pgMar w:left="1700" w:right="849" w:gutter="0" w:header="0" w:top="1132" w:footer="0" w:bottom="1132"/>
      <w:pgBorders w:display="allPages" w:offsetFrom="page">
        <w:top w:val="single" w:sz="4" w:space="24" w:color="000000"/>
        <w:left w:val="single" w:sz="4" w:space="24" w:color="000000"/>
        <w:bottom w:val="single" w:sz="4" w:space="24" w:color="000000"/>
        <w:right w:val="single" w:sz="4" w:space="24" w:color="000000"/>
      </w:pgBorders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Segoe UI" w:cs="Tahoma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kinsoku w:val="true"/>
      <w:overflowPunct w:val="true"/>
      <w:autoSpaceDE w:val="true"/>
      <w:bidi w:val="0"/>
      <w:spacing w:lineRule="auto" w:line="276" w:before="0" w:after="200"/>
      <w:jc w:val="left"/>
    </w:pPr>
    <w:rPr>
      <w:rFonts w:ascii="Calibri" w:hAnsi="Calibri" w:eastAsia="Segoe UI" w:cs="Tahoma"/>
      <w:color w:val="auto"/>
      <w:kern w:val="0"/>
      <w:sz w:val="22"/>
      <w:szCs w:val="22"/>
      <w:lang w:val="ru-RU" w:eastAsia="ru-RU" w:bidi="ar-SA"/>
    </w:rPr>
  </w:style>
  <w:style w:type="character" w:styleId="DefaultParagraphFont">
    <w:name w:val="Default Paragraph Font"/>
    <w:qFormat/>
    <w:rPr/>
  </w:style>
  <w:style w:type="character" w:styleId="Style14">
    <w:name w:val="Текст выноски Знак"/>
    <w:basedOn w:val="DefaultParagraphFont"/>
    <w:qFormat/>
    <w:rPr>
      <w:rFonts w:ascii="Tahoma" w:hAnsi="Tahoma" w:cs="Tahoma"/>
      <w:sz w:val="16"/>
      <w:szCs w:val="16"/>
    </w:rPr>
  </w:style>
  <w:style w:type="character" w:styleId="Style15">
    <w:name w:val="Верхний колонтитул Знак"/>
    <w:basedOn w:val="DefaultParagraphFont"/>
    <w:qFormat/>
    <w:rPr/>
  </w:style>
  <w:style w:type="character" w:styleId="Style16">
    <w:name w:val="Нижний колонтитул Знак"/>
    <w:basedOn w:val="DefaultParagraphFont"/>
    <w:qFormat/>
    <w:rPr/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before="0" w:after="140"/>
    </w:pPr>
    <w:rPr/>
  </w:style>
  <w:style w:type="paragraph" w:styleId="Indexheading">
    <w:name w:val="index heading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qFormat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Style18">
    <w:name w:val="Содержимое таблицы"/>
    <w:basedOn w:val="Normal"/>
    <w:qFormat/>
    <w:pPr>
      <w:widowControl w:val="false"/>
      <w:suppressLineNumbers/>
    </w:pPr>
    <w:rPr/>
  </w:style>
  <w:style w:type="paragraph" w:styleId="Style19">
    <w:name w:val="Заголовок таблицы"/>
    <w:basedOn w:val="Style18"/>
    <w:qFormat/>
    <w:pPr>
      <w:suppressLineNumbers/>
      <w:jc w:val="center"/>
    </w:pPr>
    <w:rPr>
      <w:b/>
      <w:bCs/>
    </w:rPr>
  </w:style>
  <w:style w:type="numbering" w:styleId="NoList">
    <w:name w:val="No List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Application>LibreOffice/7.6.7.2$Windows_X86_64 LibreOffice_project/dd47e4b30cb7dab30588d6c79c651f218165e3c5</Application>
  <AppVersion>15.0000</AppVersion>
  <Pages>3</Pages>
  <Words>116</Words>
  <Characters>895</Characters>
  <CharactersWithSpaces>976</CharactersWithSpaces>
  <Paragraphs>36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2019-12-03T05:33:00Z</dcterms:created>
  <dc:creator>hasanov.r</dc:creator>
  <dc:description/>
  <dc:language>ru-RU</dc:language>
  <cp:lastModifiedBy/>
  <cp:lastPrinted>2024-05-29T16:26:12Z</cp:lastPrinted>
  <dcterms:modified xsi:type="dcterms:W3CDTF">2024-05-29T16:32:28Z</dcterms:modified>
  <cp:revision>40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